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связи в сетях подвижной радиотелефонной связи GSM/CDMA/UMTS/LTE и услуге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xml:space="preserve">, услуг </w:t>
      </w:r>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услуг 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rostelecom</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F971BB" w:rsidRDefault="00DE4801" w:rsidP="00F971BB">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r w:rsidR="00F971BB" w:rsidRPr="00A15D53">
        <w:rPr>
          <w:rFonts w:ascii="Times New Roman" w:hAnsi="Times New Roman" w:cs="Times New Roman"/>
          <w:sz w:val="24"/>
          <w:szCs w:val="24"/>
        </w:rPr>
        <w:t>Белгородская, Брянская, Владимирская, Воронежская, Ивановская, Калужская, Курская, Костромская, Липецкая, Орловская, Рязанская, Смоленская, Тамбовская, Тверская, Тульская, Ярославская</w:t>
      </w:r>
      <w:r w:rsidR="00F971BB" w:rsidRPr="00D637C4">
        <w:rPr>
          <w:rFonts w:ascii="Times New Roman" w:hAnsi="Times New Roman" w:cs="Times New Roman"/>
          <w:sz w:val="24"/>
          <w:szCs w:val="24"/>
        </w:rPr>
        <w:t xml:space="preserve"> </w:t>
      </w:r>
      <w:r w:rsidR="00F971BB">
        <w:rPr>
          <w:rFonts w:ascii="Times New Roman" w:hAnsi="Times New Roman" w:cs="Times New Roman"/>
          <w:sz w:val="24"/>
          <w:szCs w:val="24"/>
        </w:rPr>
        <w:t xml:space="preserve">области. </w:t>
      </w:r>
    </w:p>
    <w:p w:rsidR="00BD180F" w:rsidRPr="00D637C4" w:rsidRDefault="009B0EB9" w:rsidP="00D4734A">
      <w:pPr>
        <w:ind w:firstLine="708"/>
        <w:jc w:val="both"/>
        <w:rPr>
          <w:rFonts w:ascii="Times New Roman" w:hAnsi="Times New Roman" w:cs="Times New Roman"/>
          <w:sz w:val="24"/>
          <w:szCs w:val="24"/>
        </w:rPr>
      </w:pPr>
      <w:r>
        <w:rPr>
          <w:rFonts w:ascii="Times New Roman" w:hAnsi="Times New Roman" w:cs="Times New Roman"/>
          <w:sz w:val="24"/>
          <w:szCs w:val="24"/>
        </w:rPr>
        <w:t>.</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в т.ч.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w:t>
      </w:r>
      <w:r w:rsidR="00A1281B">
        <w:rPr>
          <w:rFonts w:ascii="Times New Roman" w:hAnsi="Times New Roman" w:cs="Times New Roman"/>
          <w:sz w:val="24"/>
          <w:szCs w:val="24"/>
        </w:rPr>
        <w:t>г. Москва, 22 км. Киевского шоссе, д. 6, стр. 1.</w:t>
      </w:r>
    </w:p>
    <w:p w:rsidR="00DF09A7" w:rsidRPr="006B0748" w:rsidRDefault="00D637C4" w:rsidP="006B0748">
      <w:pPr>
        <w:pStyle w:val="a3"/>
        <w:numPr>
          <w:ilvl w:val="0"/>
          <w:numId w:val="2"/>
        </w:numPr>
        <w:ind w:left="0" w:firstLine="567"/>
        <w:jc w:val="both"/>
        <w:rPr>
          <w:rFonts w:ascii="Times New Roman" w:hAnsi="Times New Roman" w:cs="Times New Roman"/>
          <w:sz w:val="24"/>
          <w:szCs w:val="24"/>
        </w:rPr>
      </w:pPr>
      <w:r w:rsidRPr="00DF09A7">
        <w:rPr>
          <w:rFonts w:ascii="Times New Roman" w:hAnsi="Times New Roman" w:cs="Times New Roman"/>
          <w:sz w:val="24"/>
          <w:szCs w:val="24"/>
        </w:rPr>
        <w:t xml:space="preserve">В случае подачи Заявления в электронном формате, </w:t>
      </w:r>
      <w:r w:rsidR="005955FF" w:rsidRPr="00DF09A7">
        <w:rPr>
          <w:rFonts w:ascii="Times New Roman" w:hAnsi="Times New Roman" w:cs="Times New Roman"/>
          <w:sz w:val="24"/>
          <w:szCs w:val="24"/>
        </w:rPr>
        <w:t xml:space="preserve">Заявление </w:t>
      </w:r>
      <w:r w:rsidR="0048441C" w:rsidRPr="00DF09A7">
        <w:rPr>
          <w:rFonts w:ascii="Times New Roman" w:hAnsi="Times New Roman" w:cs="Times New Roman"/>
          <w:sz w:val="24"/>
          <w:szCs w:val="24"/>
        </w:rPr>
        <w:t xml:space="preserve"> </w:t>
      </w:r>
      <w:r w:rsidRPr="00DF09A7">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F09A7">
        <w:rPr>
          <w:rFonts w:ascii="Times New Roman" w:hAnsi="Times New Roman" w:cs="Times New Roman"/>
          <w:sz w:val="24"/>
          <w:szCs w:val="24"/>
        </w:rPr>
        <w:t xml:space="preserve"> </w:t>
      </w:r>
      <w:r w:rsidR="005955FF" w:rsidRPr="00DF09A7">
        <w:rPr>
          <w:rFonts w:ascii="Times New Roman" w:hAnsi="Times New Roman" w:cs="Times New Roman"/>
          <w:sz w:val="24"/>
          <w:szCs w:val="24"/>
        </w:rPr>
        <w:t xml:space="preserve">должно быть направлено в отсканированном виде на </w:t>
      </w:r>
      <w:r w:rsidR="006B0748">
        <w:rPr>
          <w:rFonts w:ascii="Times New Roman" w:hAnsi="Times New Roman" w:cs="Times New Roman"/>
          <w:sz w:val="24"/>
          <w:szCs w:val="24"/>
        </w:rPr>
        <w:t xml:space="preserve">следующие </w:t>
      </w:r>
      <w:r w:rsidR="005955FF" w:rsidRPr="00DF09A7">
        <w:rPr>
          <w:rFonts w:ascii="Times New Roman" w:hAnsi="Times New Roman" w:cs="Times New Roman"/>
          <w:sz w:val="24"/>
          <w:szCs w:val="24"/>
        </w:rPr>
        <w:t>электронны</w:t>
      </w:r>
      <w:r w:rsidRPr="00DF09A7">
        <w:rPr>
          <w:rFonts w:ascii="Times New Roman" w:hAnsi="Times New Roman" w:cs="Times New Roman"/>
          <w:sz w:val="24"/>
          <w:szCs w:val="24"/>
        </w:rPr>
        <w:t>е</w:t>
      </w:r>
      <w:r w:rsidR="005955FF" w:rsidRPr="00DF09A7">
        <w:rPr>
          <w:rFonts w:ascii="Times New Roman" w:hAnsi="Times New Roman" w:cs="Times New Roman"/>
          <w:sz w:val="24"/>
          <w:szCs w:val="24"/>
        </w:rPr>
        <w:t xml:space="preserve"> адрес</w:t>
      </w:r>
      <w:r w:rsidRPr="00DF09A7">
        <w:rPr>
          <w:rFonts w:ascii="Times New Roman" w:hAnsi="Times New Roman" w:cs="Times New Roman"/>
          <w:sz w:val="24"/>
          <w:szCs w:val="24"/>
        </w:rPr>
        <w:t>а</w:t>
      </w:r>
      <w:r w:rsidR="005955FF" w:rsidRPr="00DF09A7">
        <w:rPr>
          <w:rFonts w:ascii="Times New Roman" w:hAnsi="Times New Roman" w:cs="Times New Roman"/>
          <w:sz w:val="24"/>
          <w:szCs w:val="24"/>
        </w:rPr>
        <w:t xml:space="preserve">: </w:t>
      </w:r>
      <w:r w:rsidR="006B0748" w:rsidRPr="006B0748">
        <w:rPr>
          <w:rFonts w:ascii="Times New Roman" w:hAnsi="Times New Roman" w:cs="Times New Roman"/>
          <w:sz w:val="24"/>
          <w:szCs w:val="24"/>
        </w:rPr>
        <w:t>Andrey.Dovbeshko@rt.ru</w:t>
      </w:r>
      <w:r w:rsidR="00DF09A7">
        <w:rPr>
          <w:rFonts w:ascii="Times New Roman" w:hAnsi="Times New Roman" w:cs="Times New Roman"/>
          <w:sz w:val="24"/>
          <w:szCs w:val="24"/>
        </w:rPr>
        <w:t xml:space="preserve">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w:t>
      </w:r>
      <w:r w:rsidR="00A1281B">
        <w:t>9</w:t>
      </w:r>
      <w:r w:rsidRPr="005A54F7">
        <w:t xml:space="preserve">.pdf);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F11ECA">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w:t>
      </w:r>
      <w:r w:rsidR="00F11ECA">
        <w:rPr>
          <w:rFonts w:ascii="Times New Roman" w:hAnsi="Times New Roman" w:cs="Times New Roman"/>
          <w:sz w:val="24"/>
          <w:szCs w:val="24"/>
        </w:rPr>
        <w:t xml:space="preserve">ендентом на участие в закупке, </w:t>
      </w:r>
      <w:bookmarkStart w:id="0" w:name="_GoBack"/>
      <w:bookmarkEnd w:id="0"/>
      <w:r w:rsidRPr="005A54F7">
        <w:rPr>
          <w:rFonts w:ascii="Times New Roman" w:hAnsi="Times New Roman" w:cs="Times New Roman"/>
          <w:sz w:val="24"/>
          <w:szCs w:val="24"/>
        </w:rPr>
        <w:t xml:space="preserve">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w:t>
      </w:r>
      <w:r w:rsidR="00D95A28">
        <w:rPr>
          <w:rFonts w:ascii="Times New Roman" w:hAnsi="Times New Roman" w:cs="Times New Roman"/>
          <w:sz w:val="24"/>
          <w:szCs w:val="24"/>
        </w:rPr>
        <w:t>4</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DE4801" w:rsidRPr="005A54F7" w:rsidRDefault="00B026BB" w:rsidP="00DF09A7">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r w:rsidR="005D246D">
        <w:rPr>
          <w:rFonts w:ascii="Times New Roman" w:hAnsi="Times New Roman" w:cs="Times New Roman"/>
          <w:sz w:val="24"/>
          <w:szCs w:val="24"/>
        </w:rPr>
        <w:t>,</w:t>
      </w:r>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377" w:rsidRDefault="00AE6377" w:rsidP="00F027E8">
      <w:pPr>
        <w:spacing w:after="0" w:line="240" w:lineRule="auto"/>
      </w:pPr>
      <w:r>
        <w:separator/>
      </w:r>
    </w:p>
  </w:endnote>
  <w:endnote w:type="continuationSeparator" w:id="0">
    <w:p w:rsidR="00AE6377" w:rsidRDefault="00AE637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F11ECA">
          <w:rPr>
            <w:noProof/>
          </w:rPr>
          <w:t>8</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377" w:rsidRDefault="00AE6377" w:rsidP="00F027E8">
      <w:pPr>
        <w:spacing w:after="0" w:line="240" w:lineRule="auto"/>
      </w:pPr>
      <w:r>
        <w:separator/>
      </w:r>
    </w:p>
  </w:footnote>
  <w:footnote w:type="continuationSeparator" w:id="0">
    <w:p w:rsidR="00AE6377" w:rsidRDefault="00AE637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0748"/>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0373"/>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0EB9"/>
    <w:rsid w:val="009B2E71"/>
    <w:rsid w:val="009C3B33"/>
    <w:rsid w:val="009D555B"/>
    <w:rsid w:val="009D5E47"/>
    <w:rsid w:val="009E645A"/>
    <w:rsid w:val="009E680E"/>
    <w:rsid w:val="009F4C32"/>
    <w:rsid w:val="00A035D4"/>
    <w:rsid w:val="00A0692C"/>
    <w:rsid w:val="00A11078"/>
    <w:rsid w:val="00A1281B"/>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3AED"/>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A28"/>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09A7"/>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1ECA"/>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971BB"/>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A2130"/>
  <w15:docId w15:val="{C664687A-6C55-4E8E-A14A-BC7973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24466-B512-448C-B07B-9FA9DCE67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3030</Words>
  <Characters>17272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Новоселова Вероника Владимировна</cp:lastModifiedBy>
  <cp:revision>5</cp:revision>
  <cp:lastPrinted>2013-07-29T06:22:00Z</cp:lastPrinted>
  <dcterms:created xsi:type="dcterms:W3CDTF">2018-08-09T14:37:00Z</dcterms:created>
  <dcterms:modified xsi:type="dcterms:W3CDTF">2019-02-07T09:39:00Z</dcterms:modified>
</cp:coreProperties>
</file>