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line="276" w:lineRule="auto"/>
        <w:ind/>
        <w:jc w:val="center"/>
        <w:rPr>
          <w:rFonts w:ascii="Times New Roman" w:hAnsi="Times New Roman"/>
          <w:sz w:val="24"/>
        </w:rPr>
      </w:pPr>
      <w:r>
        <w:rPr>
          <w:rFonts w:ascii="Times New Roman" w:hAnsi="Times New Roman"/>
          <w:sz w:val="24"/>
        </w:rPr>
        <w:t>БАНКОВСКАЯ  ГАРАНТИЯ</w:t>
      </w:r>
      <w:r>
        <w:rPr>
          <w:rFonts w:ascii="Times New Roman" w:hAnsi="Times New Roman"/>
          <w:sz w:val="24"/>
        </w:rPr>
        <w:t xml:space="preserve"> № _______</w:t>
      </w:r>
    </w:p>
    <w:p w14:paraId="02000000">
      <w:pPr>
        <w:widowControl w:val="1"/>
        <w:spacing w:line="276" w:lineRule="auto"/>
        <w:ind/>
        <w:jc w:val="center"/>
        <w:rPr>
          <w:rFonts w:ascii="Times New Roman" w:hAnsi="Times New Roman"/>
          <w:sz w:val="24"/>
        </w:rPr>
      </w:pPr>
    </w:p>
    <w:p w14:paraId="03000000">
      <w:pPr>
        <w:widowControl w:val="1"/>
        <w:ind w:firstLine="709"/>
        <w:jc w:val="center"/>
        <w:rPr>
          <w:b w:val="1"/>
        </w:rPr>
      </w:pPr>
      <w:r>
        <w:rPr>
          <w:rFonts w:ascii="Times New Roman" w:hAnsi="Times New Roman"/>
          <w:color w:val="000000"/>
          <w:sz w:val="24"/>
        </w:rPr>
        <w:t>Для_____________________________________</w:t>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ab/>
      </w:r>
      <w:r>
        <w:t>«____» ________ г.</w:t>
      </w:r>
    </w:p>
    <w:p w14:paraId="04000000">
      <w:pPr>
        <w:widowControl w:val="1"/>
        <w:ind w:firstLine="284" w:left="284" w:right="283"/>
        <w:jc w:val="both"/>
        <w:rPr>
          <w:rFonts w:ascii="Times New Roman" w:hAnsi="Times New Roman"/>
          <w:color w:val="000000"/>
          <w:sz w:val="24"/>
        </w:rPr>
      </w:pPr>
      <w:r>
        <w:rPr>
          <w:rFonts w:ascii="Times New Roman" w:hAnsi="Times New Roman"/>
          <w:color w:val="000000"/>
          <w:sz w:val="24"/>
        </w:rPr>
        <w:t>(</w:t>
      </w:r>
      <w:r>
        <w:rPr>
          <w:rFonts w:ascii="Times New Roman" w:hAnsi="Times New Roman"/>
          <w:i w:val="1"/>
          <w:color w:val="000000"/>
          <w:sz w:val="24"/>
        </w:rPr>
        <w:t>полное наименование Бенефициара, его адрес</w:t>
      </w:r>
      <w:r>
        <w:rPr>
          <w:rFonts w:ascii="Times New Roman" w:hAnsi="Times New Roman"/>
          <w:color w:val="000000"/>
          <w:sz w:val="24"/>
        </w:rPr>
        <w:t>)</w:t>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 xml:space="preserve">    </w:t>
      </w:r>
      <w:r>
        <w:rPr>
          <w:rFonts w:ascii="Times New Roman" w:hAnsi="Times New Roman"/>
          <w:color w:val="000000"/>
          <w:sz w:val="24"/>
        </w:rPr>
        <w:t xml:space="preserve">   </w:t>
      </w:r>
      <w:bookmarkStart w:id="1" w:name="_GoBack"/>
      <w:bookmarkEnd w:id="1"/>
      <w:r>
        <w:rPr>
          <w:rFonts w:ascii="Times New Roman" w:hAnsi="Times New Roman"/>
          <w:color w:val="000000"/>
          <w:sz w:val="24"/>
        </w:rPr>
        <w:t>(</w:t>
      </w:r>
      <w:r>
        <w:rPr>
          <w:rFonts w:ascii="Times New Roman" w:hAnsi="Times New Roman"/>
          <w:i w:val="1"/>
          <w:color w:val="000000"/>
          <w:sz w:val="24"/>
        </w:rPr>
        <w:t>дата выдачи)</w:t>
      </w:r>
    </w:p>
    <w:p w14:paraId="05000000">
      <w:pPr>
        <w:widowControl w:val="1"/>
        <w:ind w:firstLine="284" w:left="284" w:right="283"/>
        <w:jc w:val="both"/>
        <w:rPr>
          <w:rFonts w:ascii="Times New Roman" w:hAnsi="Times New Roman"/>
          <w:color w:val="000000"/>
          <w:sz w:val="24"/>
        </w:rPr>
      </w:pPr>
    </w:p>
    <w:p w14:paraId="06000000">
      <w:pPr>
        <w:widowControl w:val="1"/>
        <w:ind w:firstLine="284" w:left="284" w:right="283"/>
        <w:jc w:val="both"/>
        <w:rPr>
          <w:rFonts w:ascii="Times New Roman" w:hAnsi="Times New Roman"/>
          <w:sz w:val="24"/>
        </w:rPr>
      </w:pPr>
      <w:r>
        <w:rPr>
          <w:rFonts w:ascii="Times New Roman" w:hAnsi="Times New Roman"/>
          <w:sz w:val="24"/>
        </w:rPr>
        <w:t>(</w:t>
      </w:r>
      <w:r>
        <w:rPr>
          <w:rFonts w:ascii="Times New Roman" w:hAnsi="Times New Roman"/>
          <w:i w:val="1"/>
          <w:sz w:val="24"/>
        </w:rPr>
        <w:t>Наименование Гаранта)</w:t>
      </w:r>
      <w:r>
        <w:rPr>
          <w:rFonts w:ascii="Times New Roman" w:hAnsi="Times New Roman"/>
          <w:color w:val="000000"/>
          <w:sz w:val="24"/>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rFonts w:ascii="Times New Roman" w:hAnsi="Times New Roman"/>
          <w:i w:val="1"/>
          <w:color w:val="000000"/>
          <w:sz w:val="24"/>
        </w:rPr>
        <w:t>должность уполномоченного лица Гаранта, Ф.И.О.</w:t>
      </w:r>
      <w:r>
        <w:rPr>
          <w:rFonts w:ascii="Times New Roman" w:hAnsi="Times New Roman"/>
          <w:color w:val="000000"/>
          <w:sz w:val="24"/>
        </w:rPr>
        <w:t>), действующего на основании ________(</w:t>
      </w:r>
      <w:r>
        <w:rPr>
          <w:rFonts w:ascii="Times New Roman" w:hAnsi="Times New Roman"/>
          <w:i w:val="1"/>
          <w:color w:val="000000"/>
          <w:sz w:val="24"/>
        </w:rPr>
        <w:t>Устава, Положения, доверенности №__ от “___”______г.</w:t>
      </w:r>
      <w:r>
        <w:rPr>
          <w:rFonts w:ascii="Times New Roman" w:hAnsi="Times New Roman"/>
          <w:color w:val="000000"/>
          <w:sz w:val="24"/>
        </w:rPr>
        <w:t>)_______, выдает ______________________, местонахождение: _____________, ИНН ____________, КПП ______________, р/с № ____________________ в ______________, г. _______________, БИК ______________________(</w:t>
      </w:r>
      <w:r>
        <w:rPr>
          <w:rFonts w:ascii="Times New Roman" w:hAnsi="Times New Roman"/>
          <w:i w:val="1"/>
          <w:color w:val="000000"/>
          <w:sz w:val="24"/>
        </w:rPr>
        <w:t>полное наименование Бенефициара/филиала Бенефициара, его адрес, банковские реквизиты</w:t>
      </w:r>
      <w:r>
        <w:rPr>
          <w:rFonts w:ascii="Times New Roman" w:hAnsi="Times New Roman"/>
          <w:color w:val="000000"/>
          <w:sz w:val="24"/>
        </w:rPr>
        <w:t xml:space="preserve">), именуемому далее «Бенефициар»,  настоящую банковскую гарантию (далее «Гарантия») в обеспечение исполнения ( </w:t>
      </w:r>
      <w:r>
        <w:rPr>
          <w:rFonts w:ascii="Times New Roman" w:hAnsi="Times New Roman"/>
          <w:i w:val="1"/>
          <w:color w:val="000000"/>
          <w:sz w:val="24"/>
        </w:rPr>
        <w:t>Наименование Принципала</w:t>
      </w:r>
      <w:r>
        <w:rPr>
          <w:rFonts w:ascii="Times New Roman" w:hAnsi="Times New Roman"/>
          <w:color w:val="000000"/>
          <w:sz w:val="24"/>
        </w:rPr>
        <w:t xml:space="preserve">) (адрес:_______;  почтовый адрес: ____________; ИНН ___________, КПП __________, ОГРН ________, р/с № _______________ в </w:t>
      </w:r>
      <w:r>
        <w:rPr>
          <w:rFonts w:ascii="Times New Roman" w:hAnsi="Times New Roman"/>
          <w:i w:val="1"/>
          <w:color w:val="000000"/>
          <w:sz w:val="24"/>
        </w:rPr>
        <w:t xml:space="preserve">наименование банк </w:t>
      </w:r>
      <w:r>
        <w:rPr>
          <w:rFonts w:ascii="Times New Roman" w:hAnsi="Times New Roman"/>
          <w:color w:val="000000"/>
          <w:sz w:val="24"/>
        </w:rPr>
        <w:t>, к/c № ______________, БИК ____________), именуемым далее «</w:t>
      </w:r>
      <w:r>
        <w:rPr>
          <w:rFonts w:ascii="Times New Roman" w:hAnsi="Times New Roman"/>
          <w:b w:val="1"/>
          <w:color w:val="000000"/>
          <w:sz w:val="24"/>
        </w:rPr>
        <w:t>Принципал</w:t>
      </w:r>
      <w:r>
        <w:rPr>
          <w:rFonts w:ascii="Times New Roman" w:hAnsi="Times New Roman"/>
          <w:color w:val="000000"/>
          <w:sz w:val="24"/>
        </w:rPr>
        <w:t>», для целей обеспечения заявки на участие в ____________</w:t>
      </w:r>
      <w:r>
        <w:rPr>
          <w:rFonts w:ascii="Times New Roman" w:hAnsi="Times New Roman"/>
          <w:color w:val="000000"/>
          <w:sz w:val="24"/>
          <w:vertAlign w:val="superscript"/>
        </w:rPr>
        <w:footnoteReference w:id="1"/>
      </w:r>
      <w:r>
        <w:rPr>
          <w:rFonts w:ascii="Times New Roman" w:hAnsi="Times New Roman"/>
          <w:color w:val="000000"/>
          <w:sz w:val="24"/>
        </w:rPr>
        <w:t xml:space="preserve"> проводимом </w:t>
      </w:r>
      <w:r>
        <w:rPr>
          <w:rFonts w:ascii="Times New Roman" w:hAnsi="Times New Roman"/>
          <w:b w:val="1"/>
          <w:color w:val="000000"/>
          <w:sz w:val="24"/>
        </w:rPr>
        <w:t>Публичным акционерным обществом «Ростелеком» (ПАО «Ростелеком»)</w:t>
      </w:r>
      <w:r>
        <w:rPr>
          <w:rFonts w:ascii="Times New Roman" w:hAnsi="Times New Roman"/>
          <w:color w:val="000000"/>
          <w:sz w:val="24"/>
        </w:rPr>
        <w:t xml:space="preserve"> (</w:t>
      </w:r>
      <w:r>
        <w:rPr>
          <w:rFonts w:ascii="Times New Roman" w:hAnsi="Times New Roman"/>
          <w:color w:val="000000"/>
          <w:sz w:val="24"/>
        </w:rPr>
        <w:t xml:space="preserve">адрес:  119167, Россия, г. Санкт-Петербург, </w:t>
      </w:r>
      <w:r>
        <w:rPr>
          <w:rFonts w:ascii="Times New Roman" w:hAnsi="Times New Roman"/>
          <w:color w:val="000000"/>
          <w:sz w:val="24"/>
        </w:rPr>
        <w:t>вн.тер.г</w:t>
      </w:r>
      <w:r>
        <w:rPr>
          <w:rFonts w:ascii="Times New Roman" w:hAnsi="Times New Roman"/>
          <w:color w:val="000000"/>
          <w:sz w:val="24"/>
        </w:rPr>
        <w:t xml:space="preserve">. муниципальный округ </w:t>
      </w:r>
      <w:r>
        <w:rPr>
          <w:rFonts w:ascii="Times New Roman" w:hAnsi="Times New Roman"/>
          <w:color w:val="000000"/>
          <w:sz w:val="24"/>
        </w:rPr>
        <w:t>Смольнинское</w:t>
      </w:r>
      <w:r>
        <w:rPr>
          <w:rFonts w:ascii="Times New Roman" w:hAnsi="Times New Roman"/>
          <w:color w:val="000000"/>
          <w:sz w:val="24"/>
        </w:rPr>
        <w:t xml:space="preserve">,  наб. </w:t>
      </w:r>
      <w:r>
        <w:rPr>
          <w:rFonts w:ascii="Times New Roman" w:hAnsi="Times New Roman"/>
          <w:color w:val="000000"/>
          <w:sz w:val="24"/>
        </w:rPr>
        <w:t>Синопская</w:t>
      </w:r>
      <w:r>
        <w:rPr>
          <w:rFonts w:ascii="Times New Roman" w:hAnsi="Times New Roman"/>
          <w:color w:val="000000"/>
          <w:sz w:val="24"/>
        </w:rPr>
        <w:t xml:space="preserve">, д. 14, литер </w:t>
      </w:r>
      <w:r>
        <w:rPr>
          <w:rFonts w:ascii="Times New Roman" w:hAnsi="Times New Roman"/>
          <w:color w:val="000000"/>
          <w:sz w:val="24"/>
        </w:rPr>
        <w:t>А</w:t>
      </w:r>
      <w:r>
        <w:rPr>
          <w:rFonts w:ascii="Times New Roman" w:hAnsi="Times New Roman"/>
          <w:color w:val="000000"/>
          <w:sz w:val="24"/>
        </w:rPr>
        <w:t>;  почтовый адрес: 115172, г. Москва, ул. Гончарная, д. 30; ИНН 7707049388, КПП 784201001, ОГРН 1027700198767</w:t>
      </w:r>
      <w:r>
        <w:rPr>
          <w:rFonts w:ascii="Times New Roman" w:hAnsi="Times New Roman"/>
          <w:color w:val="000000"/>
          <w:sz w:val="24"/>
        </w:rPr>
        <w:t xml:space="preserve">)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rPr>
          <w:rFonts w:ascii="Times New Roman" w:hAnsi="Times New Roman"/>
          <w:sz w:val="24"/>
        </w:rPr>
        <w:t>с приложением документов</w:t>
      </w:r>
    </w:p>
    <w:p w14:paraId="07000000">
      <w:pPr>
        <w:widowControl w:val="1"/>
        <w:ind w:right="283"/>
        <w:jc w:val="both"/>
        <w:rPr>
          <w:rFonts w:ascii="Times New Roman" w:hAnsi="Times New Roman"/>
          <w:sz w:val="24"/>
        </w:rPr>
      </w:pPr>
      <w:r>
        <w:rPr>
          <w:rFonts w:ascii="Times New Roman" w:hAnsi="Times New Roman"/>
          <w:sz w:val="24"/>
        </w:rPr>
        <w:tab/>
      </w:r>
      <w:r>
        <w:rPr>
          <w:rFonts w:ascii="Times New Roman" w:hAnsi="Times New Roman"/>
          <w:sz w:val="24"/>
        </w:rPr>
        <w:t>подтверждающих полномочия лица, подписавшего требование по Гарантии (решение об избрании, приказ о назначении, доверенность),</w:t>
      </w:r>
    </w:p>
    <w:p w14:paraId="08000000">
      <w:pPr>
        <w:widowControl w:val="1"/>
        <w:ind w:firstLine="284" w:left="284" w:right="283"/>
        <w:jc w:val="both"/>
        <w:rPr>
          <w:rFonts w:ascii="Times New Roman" w:hAnsi="Times New Roman"/>
          <w:color w:val="000000"/>
          <w:sz w:val="24"/>
        </w:rPr>
      </w:pPr>
      <w:r>
        <w:rPr>
          <w:rFonts w:ascii="Times New Roman" w:hAnsi="Times New Roman"/>
          <w:color w:val="000000"/>
          <w:sz w:val="24"/>
        </w:rPr>
        <w:t>денежную сумму в размере обеспечения заявки, _______(_____________) (</w:t>
      </w:r>
      <w:r>
        <w:rPr>
          <w:rFonts w:ascii="Times New Roman" w:hAnsi="Times New Roman"/>
          <w:i w:val="1"/>
          <w:color w:val="000000"/>
          <w:sz w:val="24"/>
        </w:rPr>
        <w:t>цифрами и прописью</w:t>
      </w:r>
      <w:r>
        <w:rPr>
          <w:rFonts w:ascii="Times New Roman" w:hAnsi="Times New Roman"/>
          <w:color w:val="000000"/>
          <w:sz w:val="24"/>
        </w:rPr>
        <w:t xml:space="preserve">), указанную в документации о закупке по проведению________________ </w:t>
      </w:r>
      <w:r>
        <w:rPr>
          <w:rFonts w:ascii="Times New Roman" w:hAnsi="Times New Roman"/>
          <w:color w:val="000000"/>
          <w:sz w:val="24"/>
          <w:vertAlign w:val="superscript"/>
        </w:rPr>
        <w:footnoteReference w:id="2"/>
      </w:r>
      <w:r>
        <w:rPr>
          <w:rFonts w:ascii="Times New Roman" w:hAnsi="Times New Roman"/>
          <w:color w:val="000000"/>
          <w:sz w:val="24"/>
        </w:rPr>
        <w:t xml:space="preserve"> на право заключения Договора _____________ (</w:t>
      </w:r>
      <w:r>
        <w:rPr>
          <w:rFonts w:ascii="Times New Roman" w:hAnsi="Times New Roman"/>
          <w:i w:val="1"/>
          <w:color w:val="000000"/>
          <w:sz w:val="24"/>
        </w:rPr>
        <w:t>указать предмет Договора</w:t>
      </w:r>
      <w:r>
        <w:rPr>
          <w:rFonts w:ascii="Times New Roman" w:hAnsi="Times New Roman"/>
          <w:color w:val="000000"/>
          <w:sz w:val="24"/>
        </w:rPr>
        <w:t>)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w:t>
      </w:r>
      <w:r>
        <w:rPr>
          <w:rFonts w:ascii="Times New Roman" w:hAnsi="Times New Roman"/>
          <w:color w:val="000000"/>
          <w:sz w:val="24"/>
        </w:rPr>
        <w:t xml:space="preserve"> </w:t>
      </w:r>
    </w:p>
    <w:p w14:paraId="09000000">
      <w:pPr>
        <w:widowControl w:val="1"/>
        <w:ind w:firstLine="284" w:left="284" w:right="283"/>
        <w:jc w:val="both"/>
        <w:rPr>
          <w:rFonts w:ascii="Times New Roman" w:hAnsi="Times New Roman"/>
          <w:color w:val="000000"/>
          <w:sz w:val="24"/>
        </w:rPr>
      </w:pPr>
      <w:r>
        <w:rPr>
          <w:rFonts w:ascii="Times New Roman" w:hAnsi="Times New Roman"/>
          <w:color w:val="000000"/>
          <w:sz w:val="24"/>
        </w:rPr>
        <w:t>- изменения или отзыва Принципалом заявки на участие в ____________</w:t>
      </w:r>
      <w:r>
        <w:rPr>
          <w:rFonts w:ascii="Times New Roman" w:hAnsi="Times New Roman"/>
          <w:color w:val="000000"/>
          <w:sz w:val="24"/>
          <w:vertAlign w:val="superscript"/>
        </w:rPr>
        <w:footnoteReference w:id="3"/>
      </w:r>
      <w:r>
        <w:rPr>
          <w:rFonts w:ascii="Times New Roman" w:hAnsi="Times New Roman"/>
          <w:color w:val="000000"/>
          <w:sz w:val="24"/>
        </w:rPr>
        <w:t xml:space="preserve"> , после истечения срока предоставления Заявок, установленного извещением о закупке и документацией о закупке;</w:t>
      </w:r>
    </w:p>
    <w:p w14:paraId="0A000000">
      <w:pPr>
        <w:widowControl w:val="1"/>
        <w:ind w:firstLine="284" w:left="284" w:right="283"/>
        <w:jc w:val="both"/>
        <w:rPr>
          <w:rFonts w:ascii="Times New Roman" w:hAnsi="Times New Roman"/>
          <w:color w:val="000000"/>
          <w:sz w:val="24"/>
        </w:rPr>
      </w:pPr>
      <w:r>
        <w:rPr>
          <w:rFonts w:ascii="Times New Roman" w:hAnsi="Times New Roman"/>
          <w:color w:val="000000"/>
          <w:sz w:val="24"/>
        </w:rPr>
        <w:t>- уклонения Принципала от заключения договора, если по результатам проведения ____________</w:t>
      </w:r>
      <w:r>
        <w:rPr>
          <w:rFonts w:ascii="Times New Roman" w:hAnsi="Times New Roman"/>
          <w:color w:val="000000"/>
          <w:sz w:val="24"/>
          <w:vertAlign w:val="superscript"/>
        </w:rPr>
        <w:footnoteReference w:id="4"/>
      </w:r>
      <w:r>
        <w:rPr>
          <w:rFonts w:ascii="Times New Roman" w:hAnsi="Times New Roman"/>
          <w:color w:val="000000"/>
          <w:sz w:val="24"/>
        </w:rPr>
        <w:t xml:space="preserve"> Принципал будет признан участником, для которого заключение договора является обязательным.</w:t>
      </w:r>
    </w:p>
    <w:p w14:paraId="0B000000">
      <w:pPr>
        <w:widowControl w:val="1"/>
        <w:ind w:firstLine="284" w:left="284" w:right="283"/>
        <w:jc w:val="both"/>
        <w:rPr>
          <w:rFonts w:ascii="Times New Roman" w:hAnsi="Times New Roman"/>
          <w:color w:val="000000"/>
          <w:sz w:val="24"/>
        </w:rPr>
      </w:pPr>
      <w:r>
        <w:rPr>
          <w:rFonts w:ascii="Times New Roman" w:hAnsi="Times New Roman"/>
          <w:color w:val="000000"/>
          <w:sz w:val="24"/>
        </w:rP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14:paraId="0C000000">
      <w:pPr>
        <w:widowControl w:val="1"/>
        <w:ind w:firstLine="284" w:left="284" w:right="283"/>
        <w:jc w:val="both"/>
        <w:rPr>
          <w:rFonts w:ascii="Times New Roman" w:hAnsi="Times New Roman"/>
          <w:color w:val="000000"/>
          <w:sz w:val="24"/>
        </w:rPr>
      </w:pPr>
      <w:r>
        <w:rPr>
          <w:rFonts w:ascii="Times New Roman" w:hAnsi="Times New Roman"/>
          <w:color w:val="000000"/>
          <w:sz w:val="24"/>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14:paraId="0D000000">
      <w:pPr>
        <w:widowControl w:val="0"/>
        <w:ind w:firstLine="284" w:left="284" w:right="283"/>
        <w:jc w:val="both"/>
        <w:rPr>
          <w:rFonts w:ascii="Times New Roman" w:hAnsi="Times New Roman"/>
          <w:color w:val="000000"/>
          <w:sz w:val="24"/>
        </w:rPr>
      </w:pPr>
      <w:r>
        <w:rPr>
          <w:rFonts w:ascii="Times New Roman" w:hAnsi="Times New Roman"/>
          <w:color w:val="000000"/>
          <w:sz w:val="24"/>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0E000000">
      <w:pPr>
        <w:widowControl w:val="1"/>
        <w:ind w:firstLine="284" w:left="284" w:right="283"/>
        <w:jc w:val="both"/>
        <w:rPr>
          <w:rFonts w:ascii="Times New Roman" w:hAnsi="Times New Roman"/>
          <w:color w:val="000000"/>
          <w:sz w:val="24"/>
        </w:rPr>
      </w:pPr>
      <w:r>
        <w:rPr>
          <w:rFonts w:ascii="Times New Roman" w:hAnsi="Times New Roman"/>
          <w:color w:val="000000"/>
          <w:sz w:val="24"/>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r>
        <w:rPr>
          <w:rFonts w:ascii="Times New Roman" w:hAnsi="Times New Roman"/>
          <w:color w:val="000000"/>
          <w:sz w:val="24"/>
        </w:rPr>
        <w:t>.</w:t>
      </w:r>
    </w:p>
    <w:p w14:paraId="0F000000">
      <w:pPr>
        <w:widowControl w:val="1"/>
        <w:ind w:firstLine="284" w:left="284" w:right="283"/>
        <w:jc w:val="both"/>
        <w:rPr>
          <w:rFonts w:ascii="Times New Roman" w:hAnsi="Times New Roman"/>
          <w:color w:val="000000"/>
          <w:sz w:val="24"/>
        </w:rPr>
      </w:pPr>
      <w:r>
        <w:rPr>
          <w:rFonts w:ascii="Times New Roman" w:hAnsi="Times New Roman"/>
          <w:color w:val="000000"/>
          <w:sz w:val="24"/>
        </w:rPr>
        <w:t>Настоящая Гарантия вступает в силу с «___» __________ 20__г. (</w:t>
      </w:r>
      <w:r>
        <w:rPr>
          <w:rFonts w:ascii="Times New Roman" w:hAnsi="Times New Roman"/>
          <w:i w:val="1"/>
          <w:color w:val="000000"/>
          <w:sz w:val="24"/>
        </w:rPr>
        <w:t>Гарантия вступает в силу со дня ее выдачи, если в гарантии не предусмотрено иное</w:t>
      </w:r>
      <w:r>
        <w:rPr>
          <w:rFonts w:ascii="Times New Roman" w:hAnsi="Times New Roman"/>
          <w:color w:val="000000"/>
          <w:sz w:val="24"/>
        </w:rPr>
        <w:t>) и действует по «___» __________ 20__ г. включительно (</w:t>
      </w:r>
      <w:r>
        <w:rPr>
          <w:rFonts w:ascii="Times New Roman" w:hAnsi="Times New Roman"/>
          <w:i w:val="1"/>
          <w:color w:val="000000"/>
          <w:sz w:val="24"/>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Fonts w:ascii="Times New Roman" w:hAnsi="Times New Roman"/>
          <w:i w:val="1"/>
          <w:color w:val="000000"/>
          <w:sz w:val="24"/>
          <w:vertAlign w:val="superscript"/>
        </w:rPr>
        <w:footnoteReference w:id="5"/>
      </w:r>
      <w:r>
        <w:rPr>
          <w:rFonts w:ascii="Times New Roman" w:hAnsi="Times New Roman"/>
          <w:color w:val="000000"/>
          <w:sz w:val="24"/>
        </w:rPr>
        <w:t>).</w:t>
      </w:r>
    </w:p>
    <w:p w14:paraId="10000000">
      <w:pPr>
        <w:widowControl w:val="1"/>
        <w:ind w:firstLine="284" w:left="284" w:right="283"/>
        <w:jc w:val="both"/>
        <w:rPr>
          <w:rFonts w:ascii="Times New Roman" w:hAnsi="Times New Roman"/>
          <w:color w:val="000000"/>
          <w:sz w:val="24"/>
        </w:rPr>
      </w:pPr>
      <w:r>
        <w:rPr>
          <w:rFonts w:ascii="Times New Roman" w:hAnsi="Times New Roman"/>
          <w:color w:val="000000"/>
          <w:sz w:val="24"/>
        </w:rPr>
        <w:tab/>
      </w:r>
      <w:r>
        <w:rPr>
          <w:rFonts w:ascii="Times New Roman" w:hAnsi="Times New Roman"/>
          <w:color w:val="000000"/>
          <w:sz w:val="24"/>
        </w:rPr>
        <w:t>Настоящая Гарантия не может быть отозвана Гарантом.</w:t>
      </w:r>
    </w:p>
    <w:p w14:paraId="11000000">
      <w:pPr>
        <w:widowControl w:val="1"/>
        <w:ind w:firstLine="284" w:left="284" w:right="283"/>
        <w:jc w:val="both"/>
        <w:rPr>
          <w:rFonts w:ascii="Times New Roman" w:hAnsi="Times New Roman"/>
          <w:color w:val="000000"/>
          <w:sz w:val="24"/>
        </w:rPr>
      </w:pPr>
      <w:r>
        <w:rPr>
          <w:rFonts w:ascii="Times New Roman" w:hAnsi="Times New Roman"/>
          <w:color w:val="000000"/>
          <w:sz w:val="24"/>
        </w:rPr>
        <w:t>Гарант вправе внести изменения в настоящую  гарантию в части продления срока ее действия или увеличения суммы без согласия бенефициара. Такие изменения вступают в силу с даты их выпуска гарантом. Во всех остальных случаях изменение условий настоящей гарантии допускается только с письменного согласия бенефициара.</w:t>
      </w:r>
    </w:p>
    <w:p w14:paraId="12000000">
      <w:pPr>
        <w:widowControl w:val="1"/>
        <w:ind w:firstLine="284" w:left="284" w:right="283"/>
        <w:jc w:val="both"/>
        <w:rPr>
          <w:rFonts w:ascii="Times New Roman" w:hAnsi="Times New Roman"/>
          <w:color w:val="000000"/>
          <w:sz w:val="24"/>
        </w:rPr>
      </w:pP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rPr>
          <w:rFonts w:ascii="Times New Roman" w:hAnsi="Times New Roman"/>
          <w:color w:val="000000"/>
          <w:sz w:val="24"/>
        </w:rPr>
        <w:tab/>
      </w:r>
    </w:p>
    <w:p w14:paraId="13000000">
      <w:pPr>
        <w:widowControl w:val="1"/>
        <w:ind w:left="284" w:right="283"/>
        <w:jc w:val="both"/>
        <w:rPr>
          <w:rFonts w:ascii="Times New Roman" w:hAnsi="Times New Roman"/>
          <w:color w:val="000000"/>
          <w:sz w:val="24"/>
        </w:rPr>
      </w:pPr>
      <w:r>
        <w:rPr>
          <w:rFonts w:ascii="Times New Roman" w:hAnsi="Times New Roman"/>
          <w:color w:val="000000"/>
          <w:sz w:val="24"/>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 и иным законодательством Российской Федерации.</w:t>
      </w:r>
    </w:p>
    <w:p w14:paraId="14000000">
      <w:pPr>
        <w:widowControl w:val="1"/>
        <w:ind w:left="284" w:right="283"/>
        <w:jc w:val="both"/>
        <w:rPr>
          <w:rFonts w:ascii="Times New Roman" w:hAnsi="Times New Roman"/>
          <w:color w:val="000000"/>
          <w:sz w:val="24"/>
          <w:shd w:fill="FFD821" w:val="clear"/>
        </w:rPr>
      </w:pPr>
    </w:p>
    <w:p w14:paraId="15000000">
      <w:pPr>
        <w:widowControl w:val="1"/>
        <w:ind w:left="284" w:right="283"/>
        <w:jc w:val="both"/>
        <w:rPr>
          <w:rFonts w:ascii="Times New Roman" w:hAnsi="Times New Roman"/>
          <w:sz w:val="24"/>
        </w:rPr>
      </w:pPr>
      <w:r>
        <w:rPr>
          <w:rFonts w:ascii="Times New Roman" w:hAnsi="Times New Roman"/>
          <w:b w:val="1"/>
          <w:sz w:val="24"/>
        </w:rPr>
        <w:t xml:space="preserve">Должность </w:t>
      </w:r>
      <w:r>
        <w:rPr>
          <w:rFonts w:ascii="Times New Roman" w:hAnsi="Times New Roman"/>
          <w:b w:val="1"/>
          <w:sz w:val="24"/>
        </w:rPr>
        <w:t>уполномоченного  лица</w:t>
      </w:r>
      <w:r>
        <w:rPr>
          <w:rFonts w:ascii="Times New Roman" w:hAnsi="Times New Roman"/>
          <w:b w:val="1"/>
          <w:sz w:val="24"/>
        </w:rPr>
        <w:t xml:space="preserve">  Гаранта   </w:t>
      </w:r>
      <w:r>
        <w:rPr>
          <w:rFonts w:ascii="Times New Roman" w:hAnsi="Times New Roman"/>
          <w:b w:val="1"/>
          <w:sz w:val="24"/>
        </w:rPr>
        <w:t>________________       (Ф.И.О.)</w:t>
      </w:r>
    </w:p>
    <w:p w14:paraId="16000000">
      <w:pPr>
        <w:widowControl w:val="1"/>
        <w:ind w:firstLine="567"/>
        <w:rPr>
          <w:i w:val="1"/>
          <w:sz w:val="24"/>
          <w:u w:val="single"/>
        </w:rPr>
      </w:pPr>
      <w:r>
        <w:rPr>
          <w:rFonts w:ascii="Times New Roman" w:hAnsi="Times New Roman"/>
          <w:b w:val="1"/>
          <w:sz w:val="24"/>
        </w:rPr>
        <w:t>М.П.</w:t>
      </w:r>
    </w:p>
    <w:sectPr>
      <w:pgSz w:h="16838" w:orient="portrait" w:w="11906"/>
      <w:pgMar w:bottom="1134" w:footer="708" w:gutter="0" w:header="708" w:left="1701" w:right="850" w:top="1134"/>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1E000000">
      <w:r>
        <w:separator/>
      </w:r>
    </w:p>
  </w:endnote>
  <w:endnote w:id="0" w:type="continuationSeparator">
    <w:p w14:paraId="1F000000">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17000000">
      <w:r>
        <w:separator/>
      </w:r>
    </w:p>
  </w:footnote>
  <w:footnote w:id="0" w:type="continuationSeparator">
    <w:p w14:paraId="18000000">
      <w:r>
        <w:continuationSeparator/>
      </w:r>
    </w:p>
  </w:footnote>
  <w:footnote w:id="1">
    <w:p w14:paraId="19000000">
      <w:pPr>
        <w:pStyle w:val="Style_18"/>
        <w:rPr>
          <w:i w:val="1"/>
          <w:sz w:val="18"/>
        </w:rPr>
      </w:pPr>
      <w:r>
        <w:rPr>
          <w:i w:val="1"/>
          <w:sz w:val="18"/>
          <w:vertAlign w:val="superscript"/>
        </w:rPr>
        <w:footnoteRef/>
      </w:r>
      <w:r>
        <w:rPr>
          <w:i w:val="1"/>
          <w:sz w:val="18"/>
        </w:rPr>
        <w:t xml:space="preserve"> Указывается наименование закупочной процедуры</w:t>
      </w:r>
    </w:p>
  </w:footnote>
  <w:footnote w:id="2">
    <w:p w14:paraId="1A000000">
      <w:pPr>
        <w:pStyle w:val="Style_18"/>
      </w:pPr>
      <w:r>
        <w:rPr>
          <w:vertAlign w:val="superscript"/>
        </w:rPr>
        <w:footnoteRef/>
      </w:r>
      <w:r>
        <w:t xml:space="preserve"> </w:t>
      </w:r>
      <w:r>
        <w:rPr>
          <w:i w:val="1"/>
          <w:sz w:val="18"/>
        </w:rPr>
        <w:t>Указывается наименование закупочной процедуры</w:t>
      </w:r>
    </w:p>
  </w:footnote>
  <w:footnote w:id="3">
    <w:p w14:paraId="1B000000">
      <w:pPr>
        <w:pStyle w:val="Style_18"/>
        <w:rPr>
          <w:i w:val="1"/>
          <w:sz w:val="18"/>
        </w:rPr>
      </w:pPr>
      <w:r>
        <w:rPr>
          <w:i w:val="1"/>
          <w:sz w:val="18"/>
          <w:vertAlign w:val="superscript"/>
        </w:rPr>
        <w:footnoteRef/>
      </w:r>
      <w:r>
        <w:rPr>
          <w:i w:val="1"/>
          <w:sz w:val="18"/>
        </w:rPr>
        <w:t xml:space="preserve"> Указывается наименование закупочной процедуры</w:t>
      </w:r>
    </w:p>
  </w:footnote>
  <w:footnote w:id="4">
    <w:p w14:paraId="1C000000">
      <w:pPr>
        <w:pStyle w:val="Style_18"/>
        <w:rPr>
          <w:i w:val="1"/>
          <w:sz w:val="18"/>
        </w:rPr>
      </w:pPr>
      <w:r>
        <w:rPr>
          <w:i w:val="1"/>
          <w:sz w:val="18"/>
          <w:vertAlign w:val="superscript"/>
        </w:rPr>
        <w:footnoteRef/>
      </w:r>
      <w:r>
        <w:rPr>
          <w:i w:val="1"/>
          <w:sz w:val="18"/>
        </w:rPr>
        <w:t xml:space="preserve"> Указывается наименование закупочной процедуры</w:t>
      </w:r>
    </w:p>
  </w:footnote>
  <w:footnote w:id="5">
    <w:p w14:paraId="1D000000">
      <w:pPr>
        <w:pStyle w:val="Style_18"/>
        <w:rPr>
          <w:i w:val="1"/>
        </w:rPr>
      </w:pPr>
      <w:r>
        <w:rPr>
          <w:i w:val="1"/>
          <w:vertAlign w:val="superscript"/>
        </w:rPr>
        <w:footnoteRef/>
      </w:r>
      <w:r>
        <w:rPr>
          <w:i w:val="1"/>
          <w:sz w:val="18"/>
        </w:rPr>
        <w:t xml:space="preserve"> Указывается наименование закупочной процедуры</w:t>
      </w:r>
    </w:p>
  </w:footnote>
</w:footnote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6"/>
      </w:rPr>
    </w:rPrDefault>
    <w:pPrDefault>
      <w:pPr>
        <w:widowControl w:val="1"/>
        <w:spacing w:after="0" w:before="0" w:line="240" w:lineRule="auto"/>
        <w:ind w:firstLine="709" w:left="0" w:right="0"/>
        <w:jc w:val="both"/>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0" w:uiPriority="9" w:unhideWhenUsed="0"/>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1"/>
      <w:ind w:firstLine="0"/>
      <w:jc w:val="left"/>
    </w:pPr>
    <w:rPr>
      <w:rFonts w:ascii="Calibri" w:hAnsi="Calibri"/>
      <w:sz w:val="22"/>
    </w:rPr>
  </w:style>
  <w:style w:default="1" w:styleId="Style_1_ch" w:type="character">
    <w:name w:val="Normal"/>
    <w:link w:val="Style_1"/>
    <w:rPr>
      <w:rFonts w:ascii="Calibri" w:hAnsi="Calibri"/>
      <w:sz w:val="22"/>
    </w:rPr>
  </w:style>
  <w:style w:styleId="Style_2" w:type="paragraph">
    <w:name w:val="Default Paragraph Font"/>
    <w:link w:val="Style_2_ch"/>
  </w:style>
  <w:style w:styleId="Style_2_ch" w:type="character">
    <w:name w:val="Default Paragraph Font"/>
    <w:link w:val="Style_2"/>
  </w:style>
  <w:style w:styleId="Style_3" w:type="paragraph">
    <w:name w:val="toc 2"/>
    <w:next w:val="Style_1"/>
    <w:link w:val="Style_3_ch"/>
    <w:uiPriority w:val="39"/>
    <w:pPr>
      <w:widowControl w:val="1"/>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1"/>
    <w:link w:val="Style_4_ch"/>
    <w:uiPriority w:val="39"/>
    <w:pPr>
      <w:widowControl w:val="1"/>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heading 7"/>
    <w:basedOn w:val="Style_1"/>
    <w:next w:val="Style_1"/>
    <w:link w:val="Style_5_ch"/>
    <w:uiPriority w:val="9"/>
    <w:qFormat/>
    <w:pPr>
      <w:widowControl w:val="1"/>
      <w:tabs>
        <w:tab w:leader="none" w:pos="3469" w:val="left"/>
      </w:tabs>
      <w:spacing w:after="60" w:before="240"/>
      <w:ind w:hanging="1296" w:left="3469"/>
      <w:jc w:val="both"/>
      <w:outlineLvl w:val="6"/>
    </w:pPr>
    <w:rPr>
      <w:rFonts w:ascii="Times New Roman" w:hAnsi="Times New Roman"/>
      <w:sz w:val="26"/>
    </w:rPr>
  </w:style>
  <w:style w:styleId="Style_5_ch" w:type="character">
    <w:name w:val="heading 7"/>
    <w:basedOn w:val="Style_1_ch"/>
    <w:link w:val="Style_5"/>
    <w:rPr>
      <w:rFonts w:ascii="Times New Roman" w:hAnsi="Times New Roman"/>
      <w:sz w:val="26"/>
    </w:rPr>
  </w:style>
  <w:style w:styleId="Style_6" w:type="paragraph">
    <w:name w:val="toc 6"/>
    <w:next w:val="Style_1"/>
    <w:link w:val="Style_6_ch"/>
    <w:uiPriority w:val="39"/>
    <w:pPr>
      <w:widowControl w:val="1"/>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1"/>
    <w:link w:val="Style_7_ch"/>
    <w:uiPriority w:val="39"/>
    <w:pPr>
      <w:widowControl w:val="1"/>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Endnote"/>
    <w:link w:val="Style_8_ch"/>
    <w:pPr>
      <w:widowControl w:val="1"/>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basedOn w:val="Style_1"/>
    <w:next w:val="Style_1"/>
    <w:link w:val="Style_9_ch"/>
    <w:uiPriority w:val="9"/>
    <w:qFormat/>
    <w:pPr>
      <w:keepNext w:val="1"/>
      <w:keepLines w:val="1"/>
      <w:widowControl w:val="1"/>
      <w:spacing w:before="200"/>
      <w:ind w:firstLine="709"/>
      <w:jc w:val="both"/>
      <w:outlineLvl w:val="2"/>
    </w:pPr>
    <w:rPr>
      <w:rFonts w:asciiTheme="majorAscii" w:hAnsiTheme="majorHAnsi"/>
      <w:b w:val="1"/>
      <w:color w:themeColor="accent1" w:val="4F81BD"/>
      <w:sz w:val="26"/>
    </w:rPr>
  </w:style>
  <w:style w:styleId="Style_9_ch" w:type="character">
    <w:name w:val="heading 3"/>
    <w:basedOn w:val="Style_1_ch"/>
    <w:link w:val="Style_9"/>
    <w:rPr>
      <w:rFonts w:asciiTheme="majorAscii" w:hAnsiTheme="majorHAnsi"/>
      <w:b w:val="1"/>
      <w:color w:themeColor="accent1" w:val="4F81BD"/>
      <w:sz w:val="26"/>
    </w:rPr>
  </w:style>
  <w:style w:styleId="Style_10" w:type="paragraph">
    <w:name w:val="footnote reference"/>
    <w:link w:val="Style_10_ch"/>
    <w:rPr>
      <w:vertAlign w:val="superscript"/>
    </w:rPr>
  </w:style>
  <w:style w:styleId="Style_10_ch" w:type="character">
    <w:name w:val="footnote reference"/>
    <w:link w:val="Style_10"/>
    <w:rPr>
      <w:vertAlign w:val="superscript"/>
    </w:rPr>
  </w:style>
  <w:style w:styleId="Style_11" w:type="paragraph">
    <w:name w:val="List Paragraph"/>
    <w:basedOn w:val="Style_1"/>
    <w:link w:val="Style_11_ch"/>
    <w:pPr>
      <w:widowControl w:val="1"/>
      <w:ind w:firstLine="709" w:left="720"/>
      <w:contextualSpacing w:val="1"/>
      <w:jc w:val="both"/>
    </w:pPr>
    <w:rPr>
      <w:rFonts w:ascii="Times New Roman" w:hAnsi="Times New Roman"/>
      <w:sz w:val="26"/>
    </w:rPr>
  </w:style>
  <w:style w:styleId="Style_11_ch" w:type="character">
    <w:name w:val="List Paragraph"/>
    <w:basedOn w:val="Style_1_ch"/>
    <w:link w:val="Style_11"/>
    <w:rPr>
      <w:rFonts w:ascii="Times New Roman" w:hAnsi="Times New Roman"/>
      <w:sz w:val="26"/>
    </w:rPr>
  </w:style>
  <w:style w:styleId="Style_12" w:type="paragraph">
    <w:name w:val="Block Text"/>
    <w:basedOn w:val="Style_1"/>
    <w:link w:val="Style_12_ch"/>
    <w:pPr>
      <w:widowControl w:val="0"/>
      <w:spacing w:line="276" w:lineRule="auto"/>
      <w:ind w:firstLine="284" w:left="284" w:right="283"/>
      <w:jc w:val="both"/>
    </w:pPr>
    <w:rPr>
      <w:rFonts w:ascii="Times New Roman" w:hAnsi="Times New Roman"/>
      <w:color w:val="000000"/>
    </w:rPr>
  </w:style>
  <w:style w:styleId="Style_12_ch" w:type="character">
    <w:name w:val="Block Text"/>
    <w:basedOn w:val="Style_1_ch"/>
    <w:link w:val="Style_12"/>
    <w:rPr>
      <w:rFonts w:ascii="Times New Roman" w:hAnsi="Times New Roman"/>
      <w:color w:val="000000"/>
    </w:rPr>
  </w:style>
  <w:style w:styleId="Style_13" w:type="paragraph">
    <w:name w:val="toc 3"/>
    <w:next w:val="Style_1"/>
    <w:link w:val="Style_13_ch"/>
    <w:uiPriority w:val="39"/>
    <w:pPr>
      <w:widowControl w:val="1"/>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heading 5"/>
    <w:basedOn w:val="Style_1"/>
    <w:next w:val="Style_1"/>
    <w:link w:val="Style_14_ch"/>
    <w:uiPriority w:val="9"/>
    <w:qFormat/>
    <w:pPr>
      <w:keepNext w:val="1"/>
      <w:widowControl w:val="1"/>
      <w:ind w:firstLine="709"/>
      <w:jc w:val="both"/>
      <w:outlineLvl w:val="4"/>
    </w:pPr>
    <w:rPr>
      <w:rFonts w:ascii="Times New Roman" w:hAnsi="Times New Roman"/>
      <w:b w:val="1"/>
      <w:i w:val="1"/>
      <w:sz w:val="26"/>
    </w:rPr>
  </w:style>
  <w:style w:styleId="Style_14_ch" w:type="character">
    <w:name w:val="heading 5"/>
    <w:basedOn w:val="Style_1_ch"/>
    <w:link w:val="Style_14"/>
    <w:rPr>
      <w:rFonts w:ascii="Times New Roman" w:hAnsi="Times New Roman"/>
      <w:b w:val="1"/>
      <w:i w:val="1"/>
      <w:sz w:val="26"/>
    </w:rPr>
  </w:style>
  <w:style w:styleId="Style_15" w:type="paragraph">
    <w:name w:val="heading 1"/>
    <w:basedOn w:val="Style_1"/>
    <w:next w:val="Style_1"/>
    <w:link w:val="Style_15_ch"/>
    <w:uiPriority w:val="9"/>
    <w:qFormat/>
    <w:pPr>
      <w:keepNext w:val="1"/>
      <w:keepLines w:val="1"/>
      <w:widowControl w:val="1"/>
      <w:spacing w:before="480"/>
      <w:ind w:firstLine="709"/>
      <w:jc w:val="both"/>
      <w:outlineLvl w:val="0"/>
    </w:pPr>
    <w:rPr>
      <w:rFonts w:asciiTheme="majorAscii" w:hAnsiTheme="majorHAnsi"/>
      <w:b w:val="1"/>
      <w:color w:themeColor="accent1" w:themeShade="BF" w:val="376092"/>
      <w:sz w:val="28"/>
    </w:rPr>
  </w:style>
  <w:style w:styleId="Style_15_ch" w:type="character">
    <w:name w:val="heading 1"/>
    <w:basedOn w:val="Style_1_ch"/>
    <w:link w:val="Style_15"/>
    <w:rPr>
      <w:rFonts w:asciiTheme="majorAscii" w:hAnsiTheme="majorHAnsi"/>
      <w:b w:val="1"/>
      <w:color w:themeColor="accent1" w:themeShade="BF" w:val="376092"/>
      <w:sz w:val="28"/>
    </w:rPr>
  </w:style>
  <w:style w:styleId="Style_16" w:type="paragraph">
    <w:name w:val="Times 12"/>
    <w:basedOn w:val="Style_1"/>
    <w:link w:val="Style_16_ch"/>
    <w:pPr>
      <w:widowControl w:val="1"/>
      <w:ind w:firstLine="567"/>
      <w:jc w:val="both"/>
    </w:pPr>
    <w:rPr>
      <w:rFonts w:ascii="Times New Roman" w:hAnsi="Times New Roman"/>
      <w:sz w:val="26"/>
    </w:rPr>
  </w:style>
  <w:style w:styleId="Style_16_ch" w:type="character">
    <w:name w:val="Times 12"/>
    <w:basedOn w:val="Style_1_ch"/>
    <w:link w:val="Style_16"/>
    <w:rPr>
      <w:rFonts w:ascii="Times New Roman" w:hAnsi="Times New Roman"/>
      <w:sz w:val="26"/>
    </w:rPr>
  </w:style>
  <w:style w:styleId="Style_17" w:type="paragraph">
    <w:name w:val="Hyperlink"/>
    <w:link w:val="Style_17_ch"/>
    <w:rPr>
      <w:color w:val="0000FF"/>
      <w:u w:val="single"/>
    </w:rPr>
  </w:style>
  <w:style w:styleId="Style_17_ch" w:type="character">
    <w:name w:val="Hyperlink"/>
    <w:link w:val="Style_17"/>
    <w:rPr>
      <w:color w:val="0000FF"/>
      <w:u w:val="single"/>
    </w:rPr>
  </w:style>
  <w:style w:styleId="Style_18" w:type="paragraph">
    <w:name w:val="Footnote"/>
    <w:basedOn w:val="Style_1"/>
    <w:link w:val="Style_18_ch"/>
    <w:rPr>
      <w:rFonts w:ascii="Times New Roman" w:hAnsi="Times New Roman"/>
      <w:sz w:val="20"/>
    </w:rPr>
  </w:style>
  <w:style w:styleId="Style_18_ch" w:type="character">
    <w:name w:val="Footnote"/>
    <w:basedOn w:val="Style_1_ch"/>
    <w:link w:val="Style_18"/>
    <w:rPr>
      <w:rFonts w:ascii="Times New Roman" w:hAnsi="Times New Roman"/>
      <w:sz w:val="20"/>
    </w:rPr>
  </w:style>
  <w:style w:styleId="Style_19" w:type="paragraph">
    <w:name w:val="toc 1"/>
    <w:next w:val="Style_1"/>
    <w:link w:val="Style_19_ch"/>
    <w:uiPriority w:val="39"/>
    <w:pPr>
      <w:widowControl w:val="1"/>
      <w:ind w:firstLine="0" w:left="0"/>
      <w:jc w:val="left"/>
    </w:pPr>
    <w:rPr>
      <w:rFonts w:ascii="XO Thames" w:hAnsi="XO Thames"/>
      <w:b w:val="1"/>
      <w:sz w:val="28"/>
    </w:rPr>
  </w:style>
  <w:style w:styleId="Style_19_ch" w:type="character">
    <w:name w:val="toc 1"/>
    <w:link w:val="Style_19"/>
    <w:rPr>
      <w:rFonts w:ascii="XO Thames" w:hAnsi="XO Thames"/>
      <w:b w:val="1"/>
      <w:sz w:val="28"/>
    </w:rPr>
  </w:style>
  <w:style w:styleId="Style_20" w:type="paragraph">
    <w:name w:val="Header and Footer"/>
    <w:link w:val="Style_20_ch"/>
    <w:pPr>
      <w:widowControl w:val="1"/>
      <w:spacing w:line="240" w:lineRule="auto"/>
      <w:ind/>
      <w:jc w:val="both"/>
    </w:pPr>
    <w:rPr>
      <w:rFonts w:ascii="XO Thames" w:hAnsi="XO Thames"/>
      <w:sz w:val="28"/>
    </w:rPr>
  </w:style>
  <w:style w:styleId="Style_20_ch" w:type="character">
    <w:name w:val="Header and Footer"/>
    <w:link w:val="Style_20"/>
    <w:rPr>
      <w:rFonts w:ascii="XO Thames" w:hAnsi="XO Thames"/>
      <w:sz w:val="28"/>
    </w:rPr>
  </w:style>
  <w:style w:styleId="Style_21" w:type="paragraph">
    <w:name w:val="TOC Heading"/>
    <w:basedOn w:val="Style_15"/>
    <w:next w:val="Style_1"/>
    <w:link w:val="Style_21_ch"/>
    <w:pPr>
      <w:widowControl w:val="1"/>
      <w:spacing w:line="276" w:lineRule="auto"/>
      <w:ind/>
      <w:outlineLvl w:val="8"/>
    </w:pPr>
  </w:style>
  <w:style w:styleId="Style_21_ch" w:type="character">
    <w:name w:val="TOC Heading"/>
    <w:basedOn w:val="Style_15_ch"/>
    <w:link w:val="Style_21"/>
  </w:style>
  <w:style w:styleId="Style_22" w:type="paragraph">
    <w:name w:val="toc 9"/>
    <w:next w:val="Style_1"/>
    <w:link w:val="Style_22_ch"/>
    <w:uiPriority w:val="39"/>
    <w:pPr>
      <w:widowControl w:val="1"/>
      <w:ind w:firstLine="0" w:left="1600"/>
      <w:jc w:val="left"/>
    </w:pPr>
    <w:rPr>
      <w:rFonts w:ascii="XO Thames" w:hAnsi="XO Thames"/>
      <w:sz w:val="28"/>
    </w:rPr>
  </w:style>
  <w:style w:styleId="Style_22_ch" w:type="character">
    <w:name w:val="toc 9"/>
    <w:link w:val="Style_22"/>
    <w:rPr>
      <w:rFonts w:ascii="XO Thames" w:hAnsi="XO Thames"/>
      <w:sz w:val="28"/>
    </w:rPr>
  </w:style>
  <w:style w:styleId="Style_23" w:type="paragraph">
    <w:name w:val="toc 8"/>
    <w:next w:val="Style_1"/>
    <w:link w:val="Style_23_ch"/>
    <w:uiPriority w:val="39"/>
    <w:pPr>
      <w:widowControl w:val="1"/>
      <w:ind w:firstLine="0" w:left="1400"/>
      <w:jc w:val="left"/>
    </w:pPr>
    <w:rPr>
      <w:rFonts w:ascii="XO Thames" w:hAnsi="XO Thames"/>
      <w:sz w:val="28"/>
    </w:rPr>
  </w:style>
  <w:style w:styleId="Style_23_ch" w:type="character">
    <w:name w:val="toc 8"/>
    <w:link w:val="Style_23"/>
    <w:rPr>
      <w:rFonts w:ascii="XO Thames" w:hAnsi="XO Thames"/>
      <w:sz w:val="28"/>
    </w:rPr>
  </w:style>
  <w:style w:styleId="Style_24" w:type="paragraph">
    <w:name w:val="Balloon Text"/>
    <w:basedOn w:val="Style_1"/>
    <w:link w:val="Style_24_ch"/>
    <w:rPr>
      <w:rFonts w:ascii="Tahoma" w:hAnsi="Tahoma"/>
      <w:sz w:val="16"/>
    </w:rPr>
  </w:style>
  <w:style w:styleId="Style_24_ch" w:type="character">
    <w:name w:val="Balloon Text"/>
    <w:basedOn w:val="Style_1_ch"/>
    <w:link w:val="Style_24"/>
    <w:rPr>
      <w:rFonts w:ascii="Tahoma" w:hAnsi="Tahoma"/>
      <w:sz w:val="16"/>
    </w:rPr>
  </w:style>
  <w:style w:styleId="Style_25" w:type="paragraph">
    <w:name w:val="toc 5"/>
    <w:next w:val="Style_1"/>
    <w:link w:val="Style_25_ch"/>
    <w:uiPriority w:val="39"/>
    <w:pPr>
      <w:widowControl w:val="1"/>
      <w:ind w:firstLine="0" w:left="800"/>
      <w:jc w:val="left"/>
    </w:pPr>
    <w:rPr>
      <w:rFonts w:ascii="XO Thames" w:hAnsi="XO Thames"/>
      <w:sz w:val="28"/>
    </w:rPr>
  </w:style>
  <w:style w:styleId="Style_25_ch" w:type="character">
    <w:name w:val="toc 5"/>
    <w:link w:val="Style_25"/>
    <w:rPr>
      <w:rFonts w:ascii="XO Thames" w:hAnsi="XO Thames"/>
      <w:sz w:val="28"/>
    </w:rPr>
  </w:style>
  <w:style w:styleId="Style_26" w:type="paragraph">
    <w:name w:val="Subtitle"/>
    <w:next w:val="Style_1"/>
    <w:link w:val="Style_26_ch"/>
    <w:uiPriority w:val="11"/>
    <w:qFormat/>
    <w:pPr>
      <w:widowControl w:val="1"/>
      <w:ind/>
      <w:jc w:val="both"/>
    </w:pPr>
    <w:rPr>
      <w:rFonts w:ascii="XO Thames" w:hAnsi="XO Thames"/>
      <w:i w:val="1"/>
      <w:sz w:val="24"/>
    </w:rPr>
  </w:style>
  <w:style w:styleId="Style_26_ch" w:type="character">
    <w:name w:val="Subtitle"/>
    <w:link w:val="Style_26"/>
    <w:rPr>
      <w:rFonts w:ascii="XO Thames" w:hAnsi="XO Thames"/>
      <w:i w:val="1"/>
      <w:sz w:val="24"/>
    </w:rPr>
  </w:style>
  <w:style w:styleId="Style_27" w:type="paragraph">
    <w:name w:val="Title"/>
    <w:basedOn w:val="Style_1"/>
    <w:next w:val="Style_1"/>
    <w:link w:val="Style_27_ch"/>
    <w:uiPriority w:val="10"/>
    <w:qFormat/>
    <w:pPr>
      <w:widowControl w:val="1"/>
      <w:spacing w:line="276" w:lineRule="auto"/>
      <w:ind w:firstLine="567"/>
      <w:jc w:val="center"/>
    </w:pPr>
    <w:rPr>
      <w:rFonts w:ascii="Times New Roman" w:hAnsi="Times New Roman"/>
      <w:b w:val="1"/>
    </w:rPr>
  </w:style>
  <w:style w:styleId="Style_27_ch" w:type="character">
    <w:name w:val="Title"/>
    <w:basedOn w:val="Style_1_ch"/>
    <w:link w:val="Style_27"/>
    <w:rPr>
      <w:rFonts w:ascii="Times New Roman" w:hAnsi="Times New Roman"/>
      <w:b w:val="1"/>
    </w:rPr>
  </w:style>
  <w:style w:styleId="Style_28" w:type="paragraph">
    <w:name w:val="heading 4"/>
    <w:basedOn w:val="Style_1"/>
    <w:next w:val="Style_1"/>
    <w:link w:val="Style_28_ch"/>
    <w:uiPriority w:val="9"/>
    <w:qFormat/>
    <w:pPr>
      <w:keepNext w:val="1"/>
      <w:keepLines w:val="1"/>
      <w:widowControl w:val="1"/>
      <w:spacing w:before="200"/>
      <w:ind w:firstLine="709"/>
      <w:jc w:val="both"/>
      <w:outlineLvl w:val="3"/>
    </w:pPr>
    <w:rPr>
      <w:rFonts w:asciiTheme="majorAscii" w:hAnsiTheme="majorHAnsi"/>
      <w:b w:val="1"/>
      <w:i w:val="1"/>
      <w:color w:themeColor="accent1" w:val="4F81BD"/>
      <w:sz w:val="26"/>
    </w:rPr>
  </w:style>
  <w:style w:styleId="Style_28_ch" w:type="character">
    <w:name w:val="heading 4"/>
    <w:basedOn w:val="Style_1_ch"/>
    <w:link w:val="Style_28"/>
    <w:rPr>
      <w:rFonts w:asciiTheme="majorAscii" w:hAnsiTheme="majorHAnsi"/>
      <w:b w:val="1"/>
      <w:i w:val="1"/>
      <w:color w:themeColor="accent1" w:val="4F81BD"/>
      <w:sz w:val="26"/>
    </w:rPr>
  </w:style>
  <w:style w:styleId="Style_29" w:type="paragraph">
    <w:name w:val="heading 2"/>
    <w:basedOn w:val="Style_1"/>
    <w:next w:val="Style_1"/>
    <w:link w:val="Style_29_ch"/>
    <w:uiPriority w:val="9"/>
    <w:qFormat/>
    <w:pPr>
      <w:keepNext w:val="1"/>
      <w:keepLines w:val="1"/>
      <w:widowControl w:val="1"/>
      <w:spacing w:before="200"/>
      <w:ind w:firstLine="709"/>
      <w:jc w:val="both"/>
      <w:outlineLvl w:val="1"/>
    </w:pPr>
    <w:rPr>
      <w:rFonts w:asciiTheme="majorAscii" w:hAnsiTheme="majorHAnsi"/>
      <w:b w:val="1"/>
      <w:color w:themeColor="accent1" w:val="4F81BD"/>
      <w:sz w:val="26"/>
    </w:rPr>
  </w:style>
  <w:style w:styleId="Style_29_ch" w:type="character">
    <w:name w:val="heading 2"/>
    <w:basedOn w:val="Style_1_ch"/>
    <w:link w:val="Style_29"/>
    <w:rPr>
      <w:rFonts w:asciiTheme="majorAscii" w:hAnsiTheme="majorHAnsi"/>
      <w:b w:val="1"/>
      <w:color w:themeColor="accent1" w:val="4F81BD"/>
      <w:sz w:val="26"/>
    </w:rPr>
  </w:style>
  <w:style w:default="1" w:styleId="Style_30"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WithEffects.xml" Type="http://schemas.microsoft.com/office/2007/relationships/stylesWithEffects"/>
  <Relationship Id="rId1" Target="fontTable.xml" Type="http://schemas.openxmlformats.org/officeDocument/2006/relationships/fontTable"/>
  <Relationship Id="rId8" Target="endnotes.xml" Type="http://schemas.openxmlformats.org/officeDocument/2006/relationships/endnotes"/>
  <Relationship Id="rId7" Target="footnotes.xml" Type="http://schemas.openxmlformats.org/officeDocument/2006/relationships/footnotes"/>
  <Relationship Id="rId5" Target="webSettings.xml" Type="http://schemas.openxmlformats.org/officeDocument/2006/relationships/webSettings"/>
  <Relationship Id="rId3" Target="styles.xml" Type="http://schemas.openxmlformats.org/officeDocument/2006/relationships/styles"/>
  <Relationship Id="rId2" Target="settings.xml" Type="http://schemas.openxmlformats.org/officeDocument/2006/relationships/settings"/>
  <Relationship Id="rId6" Target="theme/theme1.xml" Type="http://schemas.openxmlformats.org/officeDocument/2006/relationships/them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2026-09-15T08:15:28Z</dcterms:created>
  <dcterms:modified xsi:type="dcterms:W3CDTF">2026-09-15T08:15:28Z</dcterms:modified>
</cp:coreProperties>
</file>