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0B4F9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D171E0">
              <w:rPr>
                <w:b/>
                <w:sz w:val="20"/>
                <w:szCs w:val="20"/>
              </w:rPr>
              <w:t xml:space="preserve"> лот </w:t>
            </w:r>
            <w:r w:rsidR="000B4F95">
              <w:rPr>
                <w:b/>
                <w:sz w:val="20"/>
                <w:szCs w:val="20"/>
                <w:lang w:val="en-US"/>
              </w:rPr>
              <w:t xml:space="preserve"> </w:t>
            </w:r>
            <w:r w:rsidR="00D171E0">
              <w:rPr>
                <w:b/>
                <w:sz w:val="20"/>
                <w:szCs w:val="20"/>
              </w:rPr>
              <w:t>2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0B4F95" w:rsidRDefault="006D2318" w:rsidP="00B51D1C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5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</w:t>
            </w:r>
            <w:r w:rsidR="00B51D1C">
              <w:rPr>
                <w:sz w:val="20"/>
                <w:szCs w:val="20"/>
              </w:rPr>
              <w:t>9</w:t>
            </w:r>
            <w:r w:rsidR="00E33C5F" w:rsidRPr="004A0C2D">
              <w:rPr>
                <w:sz w:val="20"/>
                <w:szCs w:val="20"/>
              </w:rPr>
              <w:t>:</w:t>
            </w:r>
            <w:r w:rsidR="00B51D1C">
              <w:rPr>
                <w:sz w:val="20"/>
                <w:szCs w:val="20"/>
              </w:rPr>
              <w:t>17</w:t>
            </w:r>
          </w:p>
        </w:tc>
        <w:tc>
          <w:tcPr>
            <w:tcW w:w="5924" w:type="dxa"/>
          </w:tcPr>
          <w:p w:rsidR="00B51D1C" w:rsidRDefault="00B51D1C" w:rsidP="00B51D1C">
            <w:pPr>
              <w:jc w:val="both"/>
              <w:rPr>
                <w:rFonts w:asciiTheme="minorHAnsi" w:hAnsiTheme="minorHAnsi" w:cstheme="minorBidi"/>
              </w:rPr>
            </w:pPr>
            <w:r>
              <w:t>1.</w:t>
            </w:r>
            <w:r>
              <w:tab/>
              <w:t>В п.9 Приложения 4 Технические требования Приложения_4 Лот_2 Проект Договора указано, что «Поставляемый Товар должен быть укомплектован всеми необходимыми компонентами для монтажа, подключения к сети электропитания и заземления, а также иметь выдвижные направляющие для установки в стандартный 19" монтажный шкаф глубиной не более 1000 мм.»</w:t>
            </w:r>
          </w:p>
          <w:p w:rsidR="00B51D1C" w:rsidRDefault="00B51D1C" w:rsidP="00B51D1C">
            <w:pPr>
              <w:jc w:val="both"/>
            </w:pPr>
            <w:r>
              <w:t>Оборудование OCP (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Compute</w:t>
            </w:r>
            <w:proofErr w:type="spellEnd"/>
            <w:r>
              <w:t xml:space="preserve"> </w:t>
            </w:r>
            <w:proofErr w:type="spellStart"/>
            <w:r>
              <w:t>Project</w:t>
            </w:r>
            <w:proofErr w:type="spellEnd"/>
            <w:r>
              <w:t xml:space="preserve">), предназначенное для установки в серверный шкаф стандарта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Rack</w:t>
            </w:r>
            <w:proofErr w:type="spellEnd"/>
            <w:r>
              <w:t xml:space="preserve"> v2 с внутренней монтажной шириной оборудования 21”. Данное оборудование может быть установлено в стандартный телекоммуникационный шкаф 19” с использованием адаптера OCP для 19” стоек. Адаптер на 4 OCP-сервера включает и механическое крепление серверов OCP в 19” стойки и два встроенных блока питания мощностью 3кВт, работающих в режиме N+N с возможностью их замены без прерывания работы серверов. В отличие от 21” стойки где в ряд устанавливаются 3 сервера, в указанном адаптере в ряд устанавливаются 2 сервера – т.е. плотность размещения оборудования становиться ниже. Оптимальным мы считаем вариант замены имеющихся стоек 19” на новые стойки стандарта OCP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Rack</w:t>
            </w:r>
            <w:proofErr w:type="spellEnd"/>
            <w:r>
              <w:t xml:space="preserve"> v2 монтажной шириной 21” без увеличения общей стоимости решения. Просим учесть возможность замены 19” стоек на </w:t>
            </w:r>
            <w:r>
              <w:lastRenderedPageBreak/>
              <w:t xml:space="preserve">21” без увеличения стоимости ценового предложения. Примите ли вы к рассмотрению такое решение? </w:t>
            </w:r>
          </w:p>
          <w:p w:rsidR="00B51D1C" w:rsidRDefault="00B51D1C" w:rsidP="00B51D1C">
            <w:pPr>
              <w:jc w:val="both"/>
            </w:pPr>
            <w:r>
              <w:t>2.</w:t>
            </w:r>
            <w:r>
              <w:tab/>
              <w:t>В п.13 Приложения 4 Технические требования Приложения 4 Лот_</w:t>
            </w:r>
            <w:proofErr w:type="gramStart"/>
            <w:r>
              <w:t>2  Проект</w:t>
            </w:r>
            <w:proofErr w:type="gramEnd"/>
            <w:r>
              <w:t xml:space="preserve"> Договора  указано, что «Поставляемый Товар должен входить в список совместимости (</w:t>
            </w:r>
            <w:proofErr w:type="spellStart"/>
            <w:r>
              <w:t>Hardware</w:t>
            </w:r>
            <w:proofErr w:type="spellEnd"/>
            <w:r>
              <w:t xml:space="preserve"> </w:t>
            </w:r>
            <w:proofErr w:type="spellStart"/>
            <w:r>
              <w:t>Compatibility</w:t>
            </w:r>
            <w:proofErr w:type="spellEnd"/>
            <w:r>
              <w:t xml:space="preserve"> </w:t>
            </w:r>
            <w:proofErr w:type="spellStart"/>
            <w:r>
              <w:t>List</w:t>
            </w:r>
            <w:proofErr w:type="spellEnd"/>
            <w:r>
              <w:t xml:space="preserve">) для следующих операционных систем: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 </w:t>
            </w:r>
            <w:proofErr w:type="spellStart"/>
            <w:r>
              <w:t>Server</w:t>
            </w:r>
            <w:proofErr w:type="spellEnd"/>
            <w:r>
              <w:t xml:space="preserve"> 2016 и старше; </w:t>
            </w: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Hat</w:t>
            </w:r>
            <w:proofErr w:type="spellEnd"/>
            <w:r>
              <w:t xml:space="preserve"> </w:t>
            </w:r>
            <w:proofErr w:type="spellStart"/>
            <w:r>
              <w:t>Enterprise</w:t>
            </w:r>
            <w:proofErr w:type="spellEnd"/>
            <w:r>
              <w:t xml:space="preserve"> </w:t>
            </w:r>
            <w:proofErr w:type="spellStart"/>
            <w:r>
              <w:t>Linux</w:t>
            </w:r>
            <w:proofErr w:type="spellEnd"/>
            <w:r>
              <w:t xml:space="preserve"> 7 и старше.»</w:t>
            </w:r>
          </w:p>
          <w:p w:rsidR="00B51D1C" w:rsidRDefault="00B51D1C" w:rsidP="00B51D1C">
            <w:pPr>
              <w:jc w:val="both"/>
            </w:pPr>
            <w:r>
              <w:t xml:space="preserve"> Могут ли данные сертификации быть предъявлены на момент заключения договора?</w:t>
            </w:r>
          </w:p>
          <w:p w:rsidR="00B51D1C" w:rsidRDefault="00B51D1C" w:rsidP="00B51D1C">
            <w:pPr>
              <w:jc w:val="both"/>
            </w:pPr>
          </w:p>
          <w:p w:rsidR="00B51D1C" w:rsidRDefault="00B51D1C" w:rsidP="00B51D1C">
            <w:pPr>
              <w:jc w:val="both"/>
            </w:pPr>
            <w:r>
              <w:t xml:space="preserve"> 3.</w:t>
            </w:r>
            <w:r>
              <w:tab/>
              <w:t>По всем типам конфигураций серверов имеется требование «Не менее двух блоков питания, каждый из которых должен обеспечивать нормальное функционирование сервера с учетом установки всех возможных дополнительных компонент, описанных в данных требованиях и разделе «Дополнительные комплектующие». Схема резервирования блоков питания должна соответствовать 2N. Показатель эффективности должен быть не менее 94%, Должна быть реализована функция замены без остановки работы сервера» (пункты 25, 40, 54 Приложения 4 Технические требования Приложения 4 Лот_2 Проект Договора для 60-ти дисковых серверов).</w:t>
            </w:r>
          </w:p>
          <w:p w:rsidR="00B51D1C" w:rsidRDefault="00B51D1C" w:rsidP="00B51D1C">
            <w:pPr>
              <w:jc w:val="both"/>
            </w:pPr>
            <w:r>
              <w:t xml:space="preserve"> </w:t>
            </w:r>
          </w:p>
          <w:p w:rsidR="00B51D1C" w:rsidRDefault="00B51D1C" w:rsidP="00B51D1C">
            <w:pPr>
              <w:jc w:val="both"/>
            </w:pPr>
            <w:r>
              <w:t xml:space="preserve">Предлагаемое нами серверное оборудование OCP реализует электропитание серверов на централизованном уровне стойки, с использованием 2х шасси полок питания, по 6 блоков 3кВт блоков электропитания (PSU –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unit</w:t>
            </w:r>
            <w:proofErr w:type="spellEnd"/>
            <w:r>
              <w:t xml:space="preserve">) в каждом шасси (суммарно 12 блоков на стойку), что обеспечивает отказоустойчивый режим с 2-мя раздельными вводами в стойку и поддержку до 18 </w:t>
            </w:r>
            <w:proofErr w:type="spellStart"/>
            <w:r>
              <w:t>КВатт</w:t>
            </w:r>
            <w:proofErr w:type="spellEnd"/>
            <w:r>
              <w:t xml:space="preserve"> нагрузки. Любой из блоков питания PSU может быть заменён без прерывания электроснабжения серверов. Любой из раздельных электрических вводов в стойку, может быть отключен для обслуживания без прерывания работы серверов. Данная схема имеет преимущества перед схемой с двумя блоками в каждом сервере по </w:t>
            </w:r>
            <w:proofErr w:type="spellStart"/>
            <w:r>
              <w:t>энергоэффективности</w:t>
            </w:r>
            <w:proofErr w:type="spellEnd"/>
            <w:r>
              <w:t xml:space="preserve"> и надежности, так как использует меньшее число точек преобразования </w:t>
            </w:r>
            <w:r>
              <w:lastRenderedPageBreak/>
              <w:t>электричества, а значит меньшее число точек потерь, что снижает энергопотребление (в среднем на 25 %) и вероятность отказов. Возможно ли использование данного решения для реализации требований RFP 32110140319?</w:t>
            </w:r>
          </w:p>
          <w:p w:rsidR="00B51D1C" w:rsidRDefault="00B51D1C" w:rsidP="00B51D1C">
            <w:pPr>
              <w:jc w:val="both"/>
            </w:pPr>
            <w:r>
              <w:t xml:space="preserve"> </w:t>
            </w:r>
          </w:p>
          <w:p w:rsidR="00B51D1C" w:rsidRDefault="00B51D1C" w:rsidP="00B51D1C">
            <w:pPr>
              <w:jc w:val="both"/>
            </w:pPr>
            <w:r>
              <w:t>4.</w:t>
            </w:r>
            <w:r>
              <w:tab/>
              <w:t>По всем типам конфигураций имеется требование «Наличие функции замены неисправных компонент, таких как: накопители, блоки питания, вентиляторы, без прерывания работы сервера» (пункты 27, 42, 56 Приложения 4 Технические требования Приложения 4 Лот 2 Проект Договора для 60-ти дисковых серверов)</w:t>
            </w:r>
          </w:p>
          <w:p w:rsidR="00B51D1C" w:rsidRDefault="00B51D1C" w:rsidP="00B51D1C">
            <w:pPr>
              <w:jc w:val="both"/>
            </w:pPr>
            <w:r>
              <w:t xml:space="preserve"> </w:t>
            </w:r>
          </w:p>
          <w:p w:rsidR="00B51D1C" w:rsidRDefault="00B51D1C" w:rsidP="00B51D1C">
            <w:pPr>
              <w:jc w:val="both"/>
            </w:pPr>
            <w:r>
              <w:t xml:space="preserve">Сервера </w:t>
            </w:r>
            <w:proofErr w:type="spellStart"/>
            <w:r>
              <w:t>Tioga</w:t>
            </w:r>
            <w:proofErr w:type="spellEnd"/>
            <w:r>
              <w:t xml:space="preserve"> </w:t>
            </w:r>
            <w:proofErr w:type="spellStart"/>
            <w:r>
              <w:t>Pass</w:t>
            </w:r>
            <w:proofErr w:type="spellEnd"/>
            <w:r>
              <w:t xml:space="preserve"> имеют по 2 вентилятора, работающих в отказоустойчивом режиме 1+1 и обеспечивающих долговременную работу сервера под нагрузкой, без снижения производительности и </w:t>
            </w:r>
            <w:proofErr w:type="spellStart"/>
            <w:r>
              <w:t>троттлинга</w:t>
            </w:r>
            <w:proofErr w:type="spellEnd"/>
            <w:r>
              <w:t xml:space="preserve">, в случае отказа одного из вентиляторов. Возможность долговременной работы сервера без деградации производительности с одним исправным вентилятором заложена спецификацией на сервер OCP </w:t>
            </w:r>
            <w:proofErr w:type="spellStart"/>
            <w:r>
              <w:t>Tioga</w:t>
            </w:r>
            <w:proofErr w:type="spellEnd"/>
            <w:r>
              <w:t xml:space="preserve"> </w:t>
            </w:r>
            <w:proofErr w:type="spellStart"/>
            <w:r>
              <w:t>Pass</w:t>
            </w:r>
            <w:proofErr w:type="spellEnd"/>
            <w:r>
              <w:t xml:space="preserve"> и реализована </w:t>
            </w:r>
            <w:proofErr w:type="spellStart"/>
            <w:r>
              <w:t>аппаратно</w:t>
            </w:r>
            <w:proofErr w:type="spellEnd"/>
            <w:r>
              <w:t xml:space="preserve"> и схемотехнически. Кроме того, вентиляторы в серверах OCP имеют большой диаметр (80мм) и низкую скорость вращения (12 000 RPM - оборотов в минуту), что обеспечивает увеличенную производительность и более чем в 2 раза увеличенную наработку на отказ (</w:t>
            </w:r>
            <w:proofErr w:type="spellStart"/>
            <w:r>
              <w:t>Lifetime</w:t>
            </w:r>
            <w:proofErr w:type="spellEnd"/>
            <w:r>
              <w:t xml:space="preserve"> </w:t>
            </w:r>
            <w:proofErr w:type="spellStart"/>
            <w:r>
              <w:t>Expectance</w:t>
            </w:r>
            <w:proofErr w:type="spellEnd"/>
            <w:r>
              <w:t xml:space="preserve">), которая составляет 70 000 часов, против 30 000 часов у </w:t>
            </w:r>
            <w:proofErr w:type="spellStart"/>
            <w:r>
              <w:t>высокооборотистых</w:t>
            </w:r>
            <w:proofErr w:type="spellEnd"/>
            <w:r>
              <w:t xml:space="preserve"> (29 000 RPM) вентиляторов диаметром 40мм, стандартно используемых в 19” серверах. Учитывая вышесказанное, вероятность отказа вентилятора OCP-сервера в несколько раз ниже, чем у типовых используемых в 19” серверах вентиляторах. При необходимости операция замены вентиляторов, требующая остановки сервера, может быть выполнена в запланированное технологическое окно. Возможно ли использование предлагаемого решения для реализации требований RFP 32110140319?</w:t>
            </w:r>
          </w:p>
          <w:p w:rsidR="00B51D1C" w:rsidRDefault="00B51D1C" w:rsidP="00B51D1C">
            <w:pPr>
              <w:jc w:val="both"/>
            </w:pPr>
          </w:p>
          <w:p w:rsidR="00E33C5F" w:rsidRPr="00936D76" w:rsidRDefault="00E33C5F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E33C5F" w:rsidRPr="00936D76" w:rsidRDefault="00B51D1C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6F02">
              <w:lastRenderedPageBreak/>
              <w:t>Все требования технического задания основываются на существующих технологических процессах и совместимости с текущей инфраструктурой ПАО «Ростелеком» и не подлежат изменению</w:t>
            </w:r>
            <w:r>
              <w:t xml:space="preserve">. </w:t>
            </w:r>
            <w:bookmarkStart w:id="0" w:name="_GoBack"/>
            <w:bookmarkEnd w:id="0"/>
          </w:p>
        </w:tc>
      </w:tr>
    </w:tbl>
    <w:p w:rsidR="00FF2672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E1C" w:rsidRDefault="00AF5E1C" w:rsidP="00B64B00">
      <w:r>
        <w:separator/>
      </w:r>
    </w:p>
  </w:endnote>
  <w:endnote w:type="continuationSeparator" w:id="0">
    <w:p w:rsidR="00AF5E1C" w:rsidRDefault="00AF5E1C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E1C" w:rsidRDefault="00AF5E1C" w:rsidP="00B64B00">
      <w:r>
        <w:separator/>
      </w:r>
    </w:p>
  </w:footnote>
  <w:footnote w:type="continuationSeparator" w:id="0">
    <w:p w:rsidR="00AF5E1C" w:rsidRDefault="00AF5E1C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AF5E1C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A18DB"/>
    <w:rsid w:val="000B4F95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29DE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03887"/>
    <w:rsid w:val="00416E1A"/>
    <w:rsid w:val="0043051B"/>
    <w:rsid w:val="004360AD"/>
    <w:rsid w:val="00436127"/>
    <w:rsid w:val="004413B4"/>
    <w:rsid w:val="00443A77"/>
    <w:rsid w:val="00443F79"/>
    <w:rsid w:val="00444178"/>
    <w:rsid w:val="00444FEB"/>
    <w:rsid w:val="00450862"/>
    <w:rsid w:val="0045158A"/>
    <w:rsid w:val="00453C98"/>
    <w:rsid w:val="00456E5B"/>
    <w:rsid w:val="00457F20"/>
    <w:rsid w:val="00472C64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57A7B"/>
    <w:rsid w:val="00575D5A"/>
    <w:rsid w:val="00582980"/>
    <w:rsid w:val="00582AAF"/>
    <w:rsid w:val="005A051C"/>
    <w:rsid w:val="005B0E08"/>
    <w:rsid w:val="005B1763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5D3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67CD5"/>
    <w:rsid w:val="009875C4"/>
    <w:rsid w:val="00987E4A"/>
    <w:rsid w:val="009917B6"/>
    <w:rsid w:val="009979F9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5E1C"/>
    <w:rsid w:val="00AF7655"/>
    <w:rsid w:val="00B20271"/>
    <w:rsid w:val="00B219AA"/>
    <w:rsid w:val="00B27736"/>
    <w:rsid w:val="00B31A75"/>
    <w:rsid w:val="00B32890"/>
    <w:rsid w:val="00B403C3"/>
    <w:rsid w:val="00B4559E"/>
    <w:rsid w:val="00B51D1C"/>
    <w:rsid w:val="00B521C4"/>
    <w:rsid w:val="00B522D8"/>
    <w:rsid w:val="00B540CE"/>
    <w:rsid w:val="00B559A8"/>
    <w:rsid w:val="00B5619B"/>
    <w:rsid w:val="00B575D5"/>
    <w:rsid w:val="00B64B00"/>
    <w:rsid w:val="00B77AC5"/>
    <w:rsid w:val="00B8411F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171E0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625FD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581B0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79FB115-7A28-476D-AFB3-15EC8B0B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3</cp:revision>
  <cp:lastPrinted>2013-11-21T11:55:00Z</cp:lastPrinted>
  <dcterms:created xsi:type="dcterms:W3CDTF">2021-04-20T16:38:00Z</dcterms:created>
  <dcterms:modified xsi:type="dcterms:W3CDTF">2021-04-20T16:38:00Z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